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FD9BB3">
      <w:pPr>
        <w:jc w:val="center"/>
        <w:rPr>
          <w:rFonts w:eastAsia="黑体"/>
          <w:snapToGrid w:val="0"/>
          <w:kern w:val="0"/>
          <w:sz w:val="28"/>
          <w:szCs w:val="28"/>
        </w:rPr>
      </w:pPr>
      <w:r>
        <w:rPr>
          <w:rFonts w:hint="eastAsia" w:ascii="方正小标宋简体" w:hAnsi="方正小标宋简体" w:eastAsia="方正小标宋简体" w:cs="方正小标宋简体"/>
          <w:snapToGrid w:val="0"/>
          <w:kern w:val="0"/>
          <w:sz w:val="44"/>
          <w:szCs w:val="44"/>
        </w:rPr>
        <w:t>防空地下室易地建设费征收</w:t>
      </w:r>
    </w:p>
    <w:p w14:paraId="0C1BCA80">
      <w:pPr>
        <w:pStyle w:val="10"/>
        <w:rPr>
          <w:rFonts w:ascii="Times New Roman" w:hAnsi="Times New Roman" w:eastAsia="黑体" w:cs="黑体"/>
          <w:snapToGrid w:val="0"/>
          <w:color w:val="0C1B27"/>
          <w:spacing w:val="-3"/>
          <w:kern w:val="0"/>
          <w:sz w:val="32"/>
          <w:szCs w:val="32"/>
        </w:rPr>
      </w:pPr>
      <w:r>
        <w:rPr>
          <w:rFonts w:hint="eastAsia" w:ascii="Times New Roman" w:hAnsi="Times New Roman" w:eastAsia="黑体" w:cs="黑体"/>
          <w:snapToGrid w:val="0"/>
          <w:color w:val="0C1B27"/>
          <w:spacing w:val="-3"/>
          <w:kern w:val="0"/>
          <w:sz w:val="32"/>
          <w:szCs w:val="32"/>
        </w:rPr>
        <w:t>基本信息</w:t>
      </w:r>
    </w:p>
    <w:p w14:paraId="428E185C">
      <w:pPr>
        <w:pStyle w:val="10"/>
        <w:snapToGrid w:val="0"/>
        <w:spacing w:line="440" w:lineRule="exact"/>
        <w:rPr>
          <w:rFonts w:ascii="Times New Roman" w:hAnsi="Times New Roman" w:eastAsia="仿宋_GB2312" w:cs="仿宋_GB2312"/>
          <w:snapToGrid w:val="0"/>
          <w:spacing w:val="5"/>
          <w:kern w:val="0"/>
          <w:sz w:val="32"/>
          <w:szCs w:val="32"/>
        </w:rPr>
      </w:pPr>
      <w:r>
        <w:rPr>
          <w:rFonts w:hint="eastAsia" w:ascii="Times New Roman" w:hAnsi="Times New Roman" w:eastAsia="仿宋_GB2312" w:cs="仿宋_GB2312"/>
          <w:snapToGrid w:val="0"/>
          <w:spacing w:val="5"/>
          <w:kern w:val="0"/>
          <w:sz w:val="32"/>
          <w:szCs w:val="32"/>
        </w:rPr>
        <w:t>事项名称：防空地下室易地建设费征收</w:t>
      </w:r>
    </w:p>
    <w:p w14:paraId="6E1164F8">
      <w:pPr>
        <w:pStyle w:val="10"/>
        <w:snapToGrid w:val="0"/>
        <w:spacing w:line="440" w:lineRule="exact"/>
        <w:rPr>
          <w:rFonts w:ascii="Times New Roman" w:hAnsi="Times New Roman" w:eastAsia="仿宋_GB2312" w:cs="仿宋_GB2312"/>
          <w:snapToGrid w:val="0"/>
          <w:spacing w:val="5"/>
          <w:kern w:val="0"/>
          <w:sz w:val="32"/>
          <w:szCs w:val="32"/>
        </w:rPr>
      </w:pPr>
      <w:r>
        <w:rPr>
          <w:rFonts w:hint="eastAsia" w:ascii="Times New Roman" w:hAnsi="Times New Roman" w:eastAsia="仿宋_GB2312" w:cs="仿宋_GB2312"/>
          <w:snapToGrid w:val="0"/>
          <w:spacing w:val="5"/>
          <w:kern w:val="0"/>
          <w:sz w:val="32"/>
          <w:szCs w:val="32"/>
        </w:rPr>
        <w:t>事项类型：行政征收</w:t>
      </w:r>
    </w:p>
    <w:p w14:paraId="76064E82">
      <w:pPr>
        <w:pStyle w:val="10"/>
        <w:snapToGrid w:val="0"/>
        <w:spacing w:line="440" w:lineRule="exact"/>
        <w:rPr>
          <w:rFonts w:ascii="Times New Roman" w:hAnsi="Times New Roman" w:eastAsia="仿宋_GB2312" w:cs="仿宋_GB2312"/>
          <w:snapToGrid w:val="0"/>
          <w:spacing w:val="5"/>
          <w:kern w:val="0"/>
          <w:sz w:val="32"/>
          <w:szCs w:val="32"/>
        </w:rPr>
      </w:pPr>
      <w:r>
        <w:rPr>
          <w:rFonts w:hint="eastAsia" w:ascii="Times New Roman" w:hAnsi="Times New Roman" w:eastAsia="仿宋_GB2312" w:cs="仿宋_GB2312"/>
          <w:snapToGrid w:val="0"/>
          <w:spacing w:val="5"/>
          <w:kern w:val="0"/>
          <w:sz w:val="32"/>
          <w:szCs w:val="32"/>
        </w:rPr>
        <w:t>实施编码：</w:t>
      </w:r>
      <w:r>
        <w:rPr>
          <w:rFonts w:hint="eastAsia" w:ascii="Times New Roman" w:hAnsi="Times New Roman" w:eastAsia="仿宋_GB2312" w:cs="仿宋_GB2312"/>
          <w:snapToGrid w:val="0"/>
          <w:spacing w:val="5"/>
          <w:kern w:val="0"/>
          <w:sz w:val="32"/>
          <w:szCs w:val="32"/>
        </w:rPr>
        <w:tab/>
      </w:r>
      <w:r>
        <w:rPr>
          <w:rFonts w:hint="eastAsia" w:ascii="Times New Roman" w:hAnsi="Times New Roman" w:eastAsia="仿宋_GB2312" w:cs="仿宋_GB2312"/>
          <w:snapToGrid w:val="0"/>
          <w:spacing w:val="5"/>
          <w:kern w:val="0"/>
          <w:sz w:val="32"/>
          <w:szCs w:val="32"/>
        </w:rPr>
        <w:t>11320100012947875Q3320480001000</w:t>
      </w:r>
    </w:p>
    <w:p w14:paraId="47C601C2">
      <w:pPr>
        <w:pStyle w:val="10"/>
        <w:snapToGrid w:val="0"/>
        <w:spacing w:line="440" w:lineRule="exact"/>
        <w:rPr>
          <w:rFonts w:ascii="Times New Roman" w:hAnsi="Times New Roman" w:eastAsia="仿宋_GB2312" w:cs="仿宋_GB2312"/>
          <w:snapToGrid w:val="0"/>
          <w:spacing w:val="5"/>
          <w:kern w:val="0"/>
          <w:sz w:val="32"/>
          <w:szCs w:val="32"/>
        </w:rPr>
      </w:pPr>
      <w:r>
        <w:rPr>
          <w:rFonts w:hint="eastAsia" w:ascii="Times New Roman" w:hAnsi="Times New Roman" w:eastAsia="仿宋_GB2312" w:cs="仿宋_GB2312"/>
          <w:snapToGrid w:val="0"/>
          <w:spacing w:val="5"/>
          <w:kern w:val="0"/>
          <w:sz w:val="32"/>
          <w:szCs w:val="32"/>
        </w:rPr>
        <w:t>业务办理项编码：11320100012947875Q332048000100001</w:t>
      </w:r>
    </w:p>
    <w:p w14:paraId="71449631">
      <w:pPr>
        <w:pStyle w:val="10"/>
        <w:wordWrap w:val="0"/>
        <w:rPr>
          <w:rFonts w:ascii="Times New Roman" w:hAnsi="Times New Roman" w:eastAsia="仿宋_GB2312" w:cs="仿宋_GB2312"/>
          <w:snapToGrid w:val="0"/>
          <w:spacing w:val="5"/>
          <w:kern w:val="0"/>
          <w:sz w:val="24"/>
          <w:szCs w:val="24"/>
        </w:rPr>
      </w:pPr>
    </w:p>
    <w:p w14:paraId="05E7FF51">
      <w:pPr>
        <w:pStyle w:val="10"/>
        <w:rPr>
          <w:rFonts w:ascii="Times New Roman" w:hAnsi="Times New Roman" w:eastAsia="黑体" w:cs="黑体"/>
          <w:snapToGrid w:val="0"/>
          <w:color w:val="0C1B27"/>
          <w:spacing w:val="-3"/>
          <w:kern w:val="0"/>
          <w:sz w:val="32"/>
          <w:szCs w:val="32"/>
        </w:rPr>
      </w:pPr>
      <w:r>
        <w:rPr>
          <w:rFonts w:hint="eastAsia" w:ascii="Times New Roman" w:hAnsi="Times New Roman" w:eastAsia="黑体" w:cs="黑体"/>
          <w:snapToGrid w:val="0"/>
          <w:color w:val="0C1B27"/>
          <w:spacing w:val="-3"/>
          <w:kern w:val="0"/>
          <w:sz w:val="32"/>
          <w:szCs w:val="32"/>
        </w:rPr>
        <w:t>部门信息</w:t>
      </w:r>
    </w:p>
    <w:p w14:paraId="46820768">
      <w:pPr>
        <w:pStyle w:val="10"/>
        <w:snapToGrid w:val="0"/>
        <w:spacing w:line="440" w:lineRule="exact"/>
        <w:rPr>
          <w:rFonts w:ascii="Times New Roman" w:hAnsi="Times New Roman" w:eastAsia="仿宋_GB2312" w:cs="仿宋_GB2312"/>
          <w:snapToGrid w:val="0"/>
          <w:spacing w:val="5"/>
          <w:kern w:val="0"/>
          <w:sz w:val="32"/>
          <w:szCs w:val="32"/>
        </w:rPr>
      </w:pPr>
      <w:r>
        <w:rPr>
          <w:rFonts w:hint="eastAsia" w:ascii="Times New Roman" w:hAnsi="Times New Roman" w:eastAsia="仿宋_GB2312" w:cs="仿宋_GB2312"/>
          <w:snapToGrid w:val="0"/>
          <w:spacing w:val="5"/>
          <w:kern w:val="0"/>
          <w:sz w:val="32"/>
          <w:szCs w:val="32"/>
        </w:rPr>
        <w:t>实施主体：南京市国防动员办公室</w:t>
      </w:r>
    </w:p>
    <w:p w14:paraId="14A2F908">
      <w:pPr>
        <w:pStyle w:val="10"/>
        <w:snapToGrid w:val="0"/>
        <w:spacing w:line="440" w:lineRule="exact"/>
        <w:rPr>
          <w:rFonts w:ascii="Times New Roman" w:hAnsi="Times New Roman" w:eastAsia="仿宋_GB2312" w:cs="仿宋_GB2312"/>
          <w:snapToGrid w:val="0"/>
          <w:spacing w:val="5"/>
          <w:kern w:val="0"/>
          <w:sz w:val="32"/>
          <w:szCs w:val="32"/>
        </w:rPr>
      </w:pPr>
      <w:r>
        <w:rPr>
          <w:rFonts w:hint="eastAsia" w:ascii="Times New Roman" w:hAnsi="Times New Roman" w:eastAsia="仿宋_GB2312" w:cs="仿宋_GB2312"/>
          <w:snapToGrid w:val="0"/>
          <w:spacing w:val="5"/>
          <w:kern w:val="0"/>
          <w:sz w:val="32"/>
          <w:szCs w:val="32"/>
        </w:rPr>
        <w:t>实施主体编码：11320100012947875Q</w:t>
      </w:r>
    </w:p>
    <w:p w14:paraId="02E7E698">
      <w:pPr>
        <w:rPr>
          <w:rFonts w:ascii="仿宋_GB2312" w:hAnsi="仿宋_GB2312" w:eastAsia="仿宋_GB2312" w:cs="仿宋_GB2312"/>
          <w:snapToGrid w:val="0"/>
          <w:spacing w:val="5"/>
          <w:kern w:val="0"/>
          <w:sz w:val="30"/>
          <w:szCs w:val="30"/>
        </w:rPr>
      </w:pPr>
      <w:r>
        <w:rPr>
          <w:rFonts w:hint="eastAsia" w:ascii="仿宋_GB2312" w:hAnsi="仿宋_GB2312" w:eastAsia="仿宋_GB2312" w:cs="仿宋_GB2312"/>
          <w:snapToGrid w:val="0"/>
          <w:spacing w:val="5"/>
          <w:kern w:val="0"/>
          <w:sz w:val="30"/>
          <w:szCs w:val="30"/>
        </w:rPr>
        <w:br w:type="page"/>
      </w:r>
    </w:p>
    <w:p w14:paraId="0974268A">
      <w:pPr>
        <w:pStyle w:val="10"/>
        <w:snapToGrid w:val="0"/>
        <w:spacing w:line="440" w:lineRule="exact"/>
        <w:rPr>
          <w:rFonts w:ascii="黑体" w:hAnsi="黑体" w:eastAsia="黑体" w:cs="黑体"/>
          <w:snapToGrid w:val="0"/>
          <w:color w:val="0C1B27"/>
          <w:spacing w:val="-3"/>
          <w:kern w:val="0"/>
          <w:sz w:val="32"/>
          <w:szCs w:val="32"/>
        </w:rPr>
      </w:pPr>
      <w:r>
        <w:rPr>
          <w:rFonts w:hint="eastAsia" w:ascii="黑体" w:hAnsi="黑体" w:eastAsia="黑体" w:cs="黑体"/>
          <w:snapToGrid w:val="0"/>
          <w:color w:val="0C1B27"/>
          <w:spacing w:val="-3"/>
          <w:kern w:val="0"/>
          <w:sz w:val="32"/>
          <w:szCs w:val="32"/>
        </w:rPr>
        <w:t>办理流程图</w:t>
      </w:r>
    </w:p>
    <w:p w14:paraId="3A3E131F">
      <w:pPr>
        <w:pStyle w:val="10"/>
        <w:jc w:val="center"/>
        <w:rPr>
          <w:rFonts w:hint="eastAsia" w:eastAsia="宋体"/>
          <w:snapToGrid w:val="0"/>
          <w:kern w:val="0"/>
          <w:lang w:eastAsia="zh-CN"/>
        </w:rPr>
      </w:pPr>
      <w:r>
        <w:rPr>
          <w:rFonts w:hint="eastAsia" w:eastAsia="宋体"/>
          <w:snapToGrid w:val="0"/>
          <w:kern w:val="0"/>
          <w:lang w:eastAsia="zh-CN"/>
        </w:rPr>
        <w:drawing>
          <wp:inline distT="0" distB="0" distL="114300" distR="114300">
            <wp:extent cx="5391785" cy="7621270"/>
            <wp:effectExtent l="0" t="0" r="18415" b="17780"/>
            <wp:docPr id="1" name="图片 1" descr="易地建设费征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易地建设费征收"/>
                    <pic:cNvPicPr>
                      <a:picLocks noChangeAspect="1"/>
                    </pic:cNvPicPr>
                  </pic:nvPicPr>
                  <pic:blipFill>
                    <a:blip r:embed="rId4"/>
                    <a:stretch>
                      <a:fillRect/>
                    </a:stretch>
                  </pic:blipFill>
                  <pic:spPr>
                    <a:xfrm>
                      <a:off x="0" y="0"/>
                      <a:ext cx="5391785" cy="7621270"/>
                    </a:xfrm>
                    <a:prstGeom prst="rect">
                      <a:avLst/>
                    </a:prstGeom>
                  </pic:spPr>
                </pic:pic>
              </a:graphicData>
            </a:graphic>
          </wp:inline>
        </w:drawing>
      </w:r>
    </w:p>
    <w:p w14:paraId="038C4624">
      <w:pPr>
        <w:rPr>
          <w:rFonts w:ascii="黑体" w:hAnsi="黑体" w:eastAsia="黑体" w:cs="黑体"/>
          <w:snapToGrid w:val="0"/>
          <w:color w:val="0C1B27"/>
          <w:spacing w:val="-3"/>
          <w:kern w:val="0"/>
          <w:sz w:val="32"/>
          <w:szCs w:val="32"/>
        </w:rPr>
      </w:pPr>
      <w:r>
        <w:rPr>
          <w:rFonts w:hint="eastAsia" w:ascii="黑体" w:hAnsi="黑体" w:eastAsia="黑体" w:cs="黑体"/>
          <w:snapToGrid w:val="0"/>
          <w:color w:val="0C1B27"/>
          <w:spacing w:val="-3"/>
          <w:kern w:val="0"/>
          <w:sz w:val="30"/>
          <w:szCs w:val="30"/>
        </w:rPr>
        <w:br w:type="page"/>
      </w:r>
      <w:r>
        <w:rPr>
          <w:rFonts w:hint="eastAsia" w:ascii="黑体" w:hAnsi="黑体" w:eastAsia="黑体" w:cs="黑体"/>
          <w:snapToGrid w:val="0"/>
          <w:color w:val="0C1B27"/>
          <w:spacing w:val="-3"/>
          <w:kern w:val="0"/>
          <w:sz w:val="32"/>
          <w:szCs w:val="32"/>
        </w:rPr>
        <w:t>法律依据</w:t>
      </w:r>
    </w:p>
    <w:p w14:paraId="1BE1B257">
      <w:pPr>
        <w:pStyle w:val="10"/>
        <w:spacing w:line="440" w:lineRule="exact"/>
        <w:rPr>
          <w:rFonts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设定依据：</w:t>
      </w:r>
      <w:r>
        <w:rPr>
          <w:rFonts w:hint="eastAsia" w:ascii="仿宋_GB2312" w:hAnsi="仿宋_GB2312" w:eastAsia="仿宋_GB2312" w:cs="仿宋_GB2312"/>
          <w:snapToGrid w:val="0"/>
          <w:spacing w:val="5"/>
          <w:kern w:val="0"/>
          <w:sz w:val="32"/>
          <w:szCs w:val="32"/>
        </w:rPr>
        <w:t>【法律】《中华人民共和国人民防空法》第四条第一款 人民防空经费由国家和社会共同负担。第三款 有关单位应当按照国家规定负担人民防空费用。</w:t>
      </w:r>
    </w:p>
    <w:p w14:paraId="02722A76">
      <w:pPr>
        <w:spacing w:line="440" w:lineRule="exact"/>
        <w:rPr>
          <w:rFonts w:ascii="仿宋_GB2312" w:hAnsi="仿宋_GB2312" w:eastAsia="仿宋_GB2312" w:cs="仿宋_GB2312"/>
          <w:snapToGrid w:val="0"/>
          <w:spacing w:val="5"/>
          <w:kern w:val="0"/>
          <w:sz w:val="32"/>
          <w:szCs w:val="32"/>
        </w:rPr>
      </w:pPr>
      <w:r>
        <w:rPr>
          <w:rFonts w:hint="eastAsia" w:ascii="仿宋_GB2312" w:hAnsi="仿宋_GB2312" w:eastAsia="仿宋_GB2312" w:cs="仿宋_GB2312"/>
          <w:snapToGrid w:val="0"/>
          <w:spacing w:val="5"/>
          <w:kern w:val="0"/>
          <w:sz w:val="32"/>
          <w:szCs w:val="32"/>
        </w:rPr>
        <w:t>【省级地方性法规】《江苏省实施〈中华人民共和国人民防空法〉办法》第二十九条第一款 人民防空经费是进行人民防空战备建设的专项经费，由国家和社会共同负担，人防主管部门统筹管理，接受上级政府人防主管部门和同级审计、财政、物价等部门的监督。第三款 社会负担的人民防空经费包括：（一）结合城市新建民用建筑修建防空的地下室的经费或者易地建设费；（二）维护本单位人民防空工程的经费；（三）国家和省人民政府规定应当由社会负担的其他人民防空经费。</w:t>
      </w:r>
    </w:p>
    <w:p w14:paraId="3BFC0C0B">
      <w:pPr>
        <w:spacing w:line="440" w:lineRule="exact"/>
        <w:rPr>
          <w:rFonts w:ascii="仿宋_GB2312" w:hAnsi="仿宋_GB2312" w:eastAsia="仿宋_GB2312" w:cs="仿宋_GB2312"/>
          <w:snapToGrid w:val="0"/>
          <w:spacing w:val="5"/>
          <w:kern w:val="0"/>
          <w:sz w:val="32"/>
          <w:szCs w:val="32"/>
        </w:rPr>
      </w:pPr>
      <w:r>
        <w:rPr>
          <w:rFonts w:hint="eastAsia" w:ascii="仿宋_GB2312" w:hAnsi="仿宋_GB2312" w:eastAsia="仿宋_GB2312" w:cs="仿宋_GB2312"/>
          <w:snapToGrid w:val="0"/>
          <w:spacing w:val="5"/>
          <w:kern w:val="0"/>
          <w:sz w:val="32"/>
          <w:szCs w:val="32"/>
        </w:rPr>
        <w:t>【有关法律问题的决定】《中共中央、国务院、中央军委关于加强人民防空工作的决定》（中发〔2001〕9号）9、坚持以建为主，确因地质条件限制不能修建防空地下室的项目，由人民防空主管部门审核批准后，按规定</w:t>
      </w:r>
      <w:r>
        <w:rPr>
          <w:rFonts w:hint="eastAsia" w:ascii="仿宋_GB2312" w:hAnsi="仿宋_GB2312" w:eastAsia="仿宋_GB2312" w:cs="仿宋_GB2312"/>
          <w:snapToGrid w:val="0"/>
          <w:spacing w:val="5"/>
          <w:kern w:val="0"/>
          <w:sz w:val="32"/>
          <w:szCs w:val="32"/>
          <w:lang w:val="en-US" w:eastAsia="zh-CN"/>
        </w:rPr>
        <w:t>缴纳</w:t>
      </w:r>
      <w:r>
        <w:rPr>
          <w:rFonts w:hint="eastAsia" w:ascii="仿宋_GB2312" w:hAnsi="仿宋_GB2312" w:eastAsia="仿宋_GB2312" w:cs="仿宋_GB2312"/>
          <w:snapToGrid w:val="0"/>
          <w:spacing w:val="5"/>
          <w:kern w:val="0"/>
          <w:sz w:val="32"/>
          <w:szCs w:val="32"/>
        </w:rPr>
        <w:t>易地建设费，具体收费标准由省、自治区、直辖市价格主管部门会同同级财政、人防主管部门按照当地防空地下室的造价制定。</w:t>
      </w:r>
    </w:p>
    <w:p w14:paraId="349CAACE">
      <w:pPr>
        <w:spacing w:line="440" w:lineRule="exact"/>
        <w:rPr>
          <w:rFonts w:ascii="仿宋_GB2312" w:hAnsi="仿宋_GB2312" w:eastAsia="仿宋_GB2312" w:cs="仿宋_GB2312"/>
          <w:snapToGrid w:val="0"/>
          <w:spacing w:val="5"/>
          <w:kern w:val="0"/>
          <w:sz w:val="32"/>
          <w:szCs w:val="32"/>
        </w:rPr>
      </w:pPr>
      <w:r>
        <w:rPr>
          <w:rFonts w:hint="eastAsia" w:ascii="仿宋_GB2312" w:hAnsi="仿宋_GB2312" w:eastAsia="仿宋_GB2312" w:cs="仿宋_GB2312"/>
          <w:snapToGrid w:val="0"/>
          <w:spacing w:val="5"/>
          <w:kern w:val="0"/>
          <w:sz w:val="32"/>
          <w:szCs w:val="32"/>
        </w:rPr>
        <w:t>【部门规范性文件】《人民防空财务管理规定》（国人防办字〔1999〕1号）第十六条 人防经费收入包括：（四）平战结合收入。指人防办公室及其直属事业单位利用人防国有资产，开展平战结合，为社会服务所取得的收入，及经营部门缴纳的人防国有资产占用费。主要包括：1、工程使用费收入，指开发利用人防工程所取得的收入；2、通信服务收入，指利用人防通信设备、设施为社会服务所取得的收入；3、科研技术服务收入，指人防事业通过专业业务活动取得的科研、设计、咨询、定额、质检、劳务、专利转让等收入；4、设备租赁收入，指利用闲置的人防设备、设施、库房、场地等出租所取得的收入； 5、其他平战结合收入，除上述收入以外的平战结合收入。(五)其他收入。指除上述以外的收入，包括：损毁、拆迁人防工程的赔偿收入、库存物资溢价收入、利息收入、捐赠收入等。【地方规范性文件】《关于进一步加强防空地下室易地建设费管理的通知》（苏财综〔2024〕6号）：（一）征收范围。本省城市规划区内新建（含改、扩建新增面积）的民用建筑，必须按规定修建战时可用于防空的地下室。如确因地质条件和其他因素不能结合民用建筑修建防空地下室的，建设单位可以申请易地建设，经有权部门审批同意后，按规定向税务部门缴纳易地建设费。（二）征收标准防空地下室易地建设费收费标准为每平方米600-2000元。各设区市发展改革部门会同财政部门制定市辖区和县（市）具体收费标准，报设区市人民政府批准后执行。</w:t>
      </w:r>
    </w:p>
    <w:p w14:paraId="430FC0E8">
      <w:pPr>
        <w:spacing w:line="440" w:lineRule="exact"/>
        <w:rPr>
          <w:rFonts w:ascii="仿宋_GB2312" w:hAnsi="仿宋_GB2312" w:eastAsia="仿宋_GB2312" w:cs="仿宋_GB2312"/>
          <w:snapToGrid w:val="0"/>
          <w:spacing w:val="5"/>
          <w:kern w:val="0"/>
          <w:sz w:val="30"/>
          <w:szCs w:val="30"/>
        </w:rPr>
      </w:pPr>
    </w:p>
    <w:p w14:paraId="1B103E74">
      <w:pPr>
        <w:spacing w:line="440" w:lineRule="exact"/>
        <w:rPr>
          <w:rFonts w:ascii="黑体" w:hAnsi="黑体" w:eastAsia="黑体" w:cs="黑体"/>
          <w:snapToGrid w:val="0"/>
          <w:color w:val="0C1B27"/>
          <w:spacing w:val="-3"/>
          <w:kern w:val="0"/>
          <w:sz w:val="32"/>
          <w:szCs w:val="32"/>
        </w:rPr>
      </w:pPr>
      <w:r>
        <w:rPr>
          <w:rFonts w:hint="eastAsia" w:ascii="黑体" w:hAnsi="黑体" w:eastAsia="黑体" w:cs="黑体"/>
          <w:snapToGrid w:val="0"/>
          <w:color w:val="0C1B27"/>
          <w:spacing w:val="-3"/>
          <w:kern w:val="0"/>
          <w:sz w:val="32"/>
          <w:szCs w:val="32"/>
        </w:rPr>
        <w:t>常见问题</w:t>
      </w:r>
    </w:p>
    <w:p w14:paraId="1EE6F87A">
      <w:pPr>
        <w:spacing w:line="440" w:lineRule="exact"/>
        <w:rPr>
          <w:rFonts w:hint="eastAsia" w:ascii="仿宋_GB2312" w:hAnsi="仿宋_GB2312" w:eastAsia="仿宋_GB2312" w:cs="仿宋_GB2312"/>
          <w:snapToGrid w:val="0"/>
          <w:spacing w:val="5"/>
          <w:kern w:val="0"/>
          <w:sz w:val="32"/>
          <w:szCs w:val="32"/>
        </w:rPr>
      </w:pPr>
      <w:r>
        <w:rPr>
          <w:rFonts w:hint="eastAsia" w:ascii="仿宋_GB2312" w:hAnsi="仿宋_GB2312" w:eastAsia="仿宋_GB2312" w:cs="仿宋_GB2312"/>
          <w:snapToGrid w:val="0"/>
          <w:spacing w:val="5"/>
          <w:kern w:val="0"/>
          <w:sz w:val="32"/>
          <w:szCs w:val="32"/>
        </w:rPr>
        <w:t>问：在完成网上申报后，还需要再提交纸质件吗？</w:t>
      </w:r>
    </w:p>
    <w:p w14:paraId="5A653BE8">
      <w:pPr>
        <w:spacing w:line="440" w:lineRule="exact"/>
        <w:rPr>
          <w:rFonts w:hint="eastAsia" w:ascii="仿宋_GB2312" w:hAnsi="仿宋_GB2312" w:eastAsia="仿宋_GB2312" w:cs="仿宋_GB2312"/>
          <w:snapToGrid w:val="0"/>
          <w:spacing w:val="5"/>
          <w:kern w:val="0"/>
          <w:sz w:val="32"/>
          <w:szCs w:val="32"/>
        </w:rPr>
      </w:pPr>
      <w:r>
        <w:rPr>
          <w:rFonts w:hint="eastAsia" w:ascii="仿宋_GB2312" w:hAnsi="仿宋_GB2312" w:eastAsia="仿宋_GB2312" w:cs="仿宋_GB2312"/>
          <w:snapToGrid w:val="0"/>
          <w:spacing w:val="5"/>
          <w:kern w:val="0"/>
          <w:sz w:val="32"/>
          <w:szCs w:val="32"/>
        </w:rPr>
        <w:t>答：除需要线下办理的事项外，其余事项可不提交纸质件。</w:t>
      </w:r>
    </w:p>
    <w:p w14:paraId="78131ECB">
      <w:pPr>
        <w:spacing w:line="440" w:lineRule="exact"/>
        <w:rPr>
          <w:rFonts w:hint="eastAsia" w:ascii="仿宋_GB2312" w:hAnsi="仿宋_GB2312" w:eastAsia="仿宋_GB2312" w:cs="仿宋_GB2312"/>
          <w:snapToGrid w:val="0"/>
          <w:spacing w:val="5"/>
          <w:kern w:val="0"/>
          <w:sz w:val="32"/>
          <w:szCs w:val="32"/>
        </w:rPr>
      </w:pPr>
    </w:p>
    <w:p w14:paraId="33913131">
      <w:pPr>
        <w:spacing w:line="440" w:lineRule="exact"/>
        <w:rPr>
          <w:rFonts w:ascii="仿宋_GB2312" w:hAnsi="仿宋_GB2312" w:eastAsia="仿宋_GB2312" w:cs="仿宋_GB2312"/>
          <w:snapToGrid w:val="0"/>
          <w:spacing w:val="5"/>
          <w:kern w:val="0"/>
          <w:sz w:val="32"/>
          <w:szCs w:val="32"/>
        </w:rPr>
      </w:pPr>
      <w:r>
        <w:rPr>
          <w:rFonts w:hint="eastAsia" w:ascii="仿宋_GB2312" w:hAnsi="仿宋_GB2312" w:eastAsia="仿宋_GB2312" w:cs="仿宋_GB2312"/>
          <w:snapToGrid w:val="0"/>
          <w:spacing w:val="5"/>
          <w:kern w:val="0"/>
          <w:sz w:val="32"/>
          <w:szCs w:val="32"/>
        </w:rPr>
        <w:t>问：南京市防空地下室易地建设费收费标准是多少？</w:t>
      </w:r>
    </w:p>
    <w:p w14:paraId="7ACE347C">
      <w:pPr>
        <w:spacing w:line="440" w:lineRule="exact"/>
        <w:rPr>
          <w:rFonts w:ascii="仿宋_GB2312" w:hAnsi="仿宋_GB2312" w:eastAsia="仿宋_GB2312" w:cs="仿宋_GB2312"/>
          <w:snapToGrid w:val="0"/>
          <w:spacing w:val="5"/>
          <w:kern w:val="0"/>
          <w:sz w:val="32"/>
          <w:szCs w:val="32"/>
        </w:rPr>
      </w:pPr>
      <w:r>
        <w:rPr>
          <w:rFonts w:hint="eastAsia" w:ascii="仿宋_GB2312" w:hAnsi="仿宋_GB2312" w:eastAsia="仿宋_GB2312" w:cs="仿宋_GB2312"/>
          <w:snapToGrid w:val="0"/>
          <w:spacing w:val="5"/>
          <w:kern w:val="0"/>
          <w:sz w:val="32"/>
          <w:szCs w:val="32"/>
        </w:rPr>
        <w:t>答：</w:t>
      </w:r>
      <w:r>
        <w:rPr>
          <w:rFonts w:hint="eastAsia" w:ascii="Times New Roman" w:hAnsi="Times New Roman" w:eastAsia="仿宋" w:cs="仿宋_GB2312"/>
          <w:snapToGrid w:val="0"/>
          <w:spacing w:val="6"/>
          <w:kern w:val="0"/>
          <w:sz w:val="32"/>
          <w:szCs w:val="32"/>
        </w:rPr>
        <w:t>根据《关于</w:t>
      </w:r>
      <w:r>
        <w:rPr>
          <w:rFonts w:hint="eastAsia" w:ascii="Times New Roman" w:hAnsi="Times New Roman" w:eastAsia="仿宋" w:cs="仿宋_GB2312"/>
          <w:snapToGrid w:val="0"/>
          <w:spacing w:val="6"/>
          <w:kern w:val="0"/>
          <w:sz w:val="32"/>
          <w:szCs w:val="32"/>
          <w:lang w:val="en-US" w:eastAsia="zh-CN"/>
        </w:rPr>
        <w:t>进一步加强</w:t>
      </w:r>
      <w:r>
        <w:rPr>
          <w:rFonts w:hint="eastAsia" w:ascii="Times New Roman" w:hAnsi="Times New Roman" w:eastAsia="仿宋" w:cs="仿宋_GB2312"/>
          <w:snapToGrid w:val="0"/>
          <w:spacing w:val="6"/>
          <w:kern w:val="0"/>
          <w:sz w:val="32"/>
          <w:szCs w:val="32"/>
        </w:rPr>
        <w:t>南京市防空地下室易地建设费</w:t>
      </w:r>
      <w:r>
        <w:rPr>
          <w:rFonts w:hint="eastAsia" w:ascii="Times New Roman" w:hAnsi="Times New Roman" w:eastAsia="仿宋" w:cs="仿宋_GB2312"/>
          <w:snapToGrid w:val="0"/>
          <w:spacing w:val="6"/>
          <w:kern w:val="0"/>
          <w:sz w:val="32"/>
          <w:szCs w:val="32"/>
          <w:lang w:val="en-US" w:eastAsia="zh-CN"/>
        </w:rPr>
        <w:t>管理</w:t>
      </w:r>
      <w:r>
        <w:rPr>
          <w:rFonts w:hint="eastAsia" w:ascii="Times New Roman" w:hAnsi="Times New Roman" w:eastAsia="仿宋" w:cs="仿宋_GB2312"/>
          <w:snapToGrid w:val="0"/>
          <w:spacing w:val="6"/>
          <w:kern w:val="0"/>
          <w:sz w:val="32"/>
          <w:szCs w:val="32"/>
        </w:rPr>
        <w:t>的通知》（宁</w:t>
      </w:r>
      <w:r>
        <w:rPr>
          <w:rFonts w:hint="eastAsia" w:ascii="Times New Roman" w:hAnsi="Times New Roman" w:eastAsia="仿宋" w:cs="仿宋_GB2312"/>
          <w:snapToGrid w:val="0"/>
          <w:spacing w:val="6"/>
          <w:kern w:val="0"/>
          <w:sz w:val="32"/>
          <w:szCs w:val="32"/>
          <w:lang w:val="en-US" w:eastAsia="zh-CN"/>
        </w:rPr>
        <w:t>财综</w:t>
      </w:r>
      <w:r>
        <w:rPr>
          <w:rFonts w:hint="eastAsia" w:ascii="Times New Roman" w:hAnsi="Times New Roman" w:eastAsia="仿宋" w:cs="仿宋_GB2312"/>
          <w:snapToGrid w:val="0"/>
          <w:spacing w:val="6"/>
          <w:kern w:val="0"/>
          <w:sz w:val="32"/>
          <w:szCs w:val="32"/>
        </w:rPr>
        <w:t>〔20</w:t>
      </w:r>
      <w:r>
        <w:rPr>
          <w:rFonts w:hint="eastAsia" w:ascii="Times New Roman" w:hAnsi="Times New Roman" w:eastAsia="仿宋" w:cs="仿宋_GB2312"/>
          <w:snapToGrid w:val="0"/>
          <w:spacing w:val="6"/>
          <w:kern w:val="0"/>
          <w:sz w:val="32"/>
          <w:szCs w:val="32"/>
          <w:lang w:val="en-US" w:eastAsia="zh-CN"/>
        </w:rPr>
        <w:t>24</w:t>
      </w:r>
      <w:r>
        <w:rPr>
          <w:rFonts w:hint="eastAsia" w:ascii="Times New Roman" w:hAnsi="Times New Roman" w:eastAsia="仿宋" w:cs="仿宋_GB2312"/>
          <w:snapToGrid w:val="0"/>
          <w:spacing w:val="6"/>
          <w:kern w:val="0"/>
          <w:sz w:val="32"/>
          <w:szCs w:val="32"/>
        </w:rPr>
        <w:t>〕</w:t>
      </w:r>
      <w:r>
        <w:rPr>
          <w:rFonts w:hint="eastAsia" w:ascii="Times New Roman" w:hAnsi="Times New Roman" w:eastAsia="仿宋" w:cs="仿宋_GB2312"/>
          <w:snapToGrid w:val="0"/>
          <w:spacing w:val="6"/>
          <w:kern w:val="0"/>
          <w:sz w:val="32"/>
          <w:szCs w:val="32"/>
          <w:lang w:val="en-US" w:eastAsia="zh-CN"/>
        </w:rPr>
        <w:t>303</w:t>
      </w:r>
      <w:r>
        <w:rPr>
          <w:rFonts w:hint="eastAsia" w:ascii="Times New Roman" w:hAnsi="Times New Roman" w:eastAsia="仿宋" w:cs="仿宋_GB2312"/>
          <w:snapToGrid w:val="0"/>
          <w:spacing w:val="6"/>
          <w:kern w:val="0"/>
          <w:sz w:val="32"/>
          <w:szCs w:val="32"/>
        </w:rPr>
        <w:t>号）中规定：</w:t>
      </w:r>
      <w:r>
        <w:rPr>
          <w:rFonts w:hint="eastAsia" w:ascii="Times New Roman" w:hAnsi="Times New Roman" w:eastAsia="仿宋" w:cs="仿宋_GB2312"/>
          <w:snapToGrid w:val="0"/>
          <w:spacing w:val="6"/>
          <w:kern w:val="0"/>
          <w:sz w:val="32"/>
          <w:szCs w:val="32"/>
          <w:lang w:val="en-US" w:eastAsia="zh-CN"/>
        </w:rPr>
        <w:t>缴纳</w:t>
      </w:r>
      <w:r>
        <w:rPr>
          <w:rFonts w:hint="eastAsia" w:ascii="Times New Roman" w:hAnsi="Times New Roman" w:eastAsia="仿宋" w:cs="仿宋_GB2312"/>
          <w:snapToGrid w:val="0"/>
          <w:spacing w:val="6"/>
          <w:kern w:val="0"/>
          <w:sz w:val="32"/>
          <w:szCs w:val="32"/>
        </w:rPr>
        <w:t>易地建设</w:t>
      </w:r>
      <w:r>
        <w:rPr>
          <w:rFonts w:hint="eastAsia" w:ascii="Times New Roman" w:hAnsi="Times New Roman" w:eastAsia="仿宋" w:cs="仿宋_GB2312"/>
          <w:snapToGrid w:val="0"/>
          <w:spacing w:val="6"/>
          <w:kern w:val="0"/>
          <w:sz w:val="32"/>
          <w:szCs w:val="32"/>
          <w:lang w:val="en-US" w:eastAsia="zh-CN"/>
        </w:rPr>
        <w:t>费</w:t>
      </w:r>
      <w:r>
        <w:rPr>
          <w:rFonts w:hint="eastAsia" w:ascii="Times New Roman" w:hAnsi="Times New Roman" w:eastAsia="仿宋" w:cs="仿宋_GB2312"/>
          <w:snapToGrid w:val="0"/>
          <w:spacing w:val="6"/>
          <w:kern w:val="0"/>
          <w:sz w:val="32"/>
          <w:szCs w:val="32"/>
        </w:rPr>
        <w:t>的民用建筑，应按其应建未建防空地下室面积征收易地建设费，一般民用建筑收费标准为2000元/平方米，自持的主要用于科研的建设项目收费标准为1200元/平方米，工业建设项目中的非生产性建筑收费标准为600元/平方米。</w:t>
      </w:r>
    </w:p>
    <w:p w14:paraId="7F168623">
      <w:pPr>
        <w:spacing w:line="440" w:lineRule="exact"/>
        <w:rPr>
          <w:rFonts w:ascii="仿宋_GB2312" w:eastAsia="仿宋_GB2312"/>
          <w:snapToGrid w:val="0"/>
          <w:color w:val="FF0000"/>
          <w:kern w:val="0"/>
          <w:sz w:val="32"/>
          <w:szCs w:val="32"/>
        </w:rPr>
      </w:pPr>
    </w:p>
    <w:p w14:paraId="4A998F7D">
      <w:pPr>
        <w:spacing w:line="440" w:lineRule="exact"/>
        <w:rPr>
          <w:rFonts w:ascii="仿宋_GB2312" w:hAnsi="仿宋_GB2312" w:eastAsia="仿宋_GB2312" w:cs="仿宋_GB2312"/>
          <w:snapToGrid w:val="0"/>
          <w:spacing w:val="5"/>
          <w:kern w:val="0"/>
          <w:sz w:val="32"/>
          <w:szCs w:val="32"/>
        </w:rPr>
      </w:pPr>
      <w:r>
        <w:rPr>
          <w:rFonts w:hint="eastAsia" w:ascii="仿宋_GB2312" w:hAnsi="仿宋_GB2312" w:eastAsia="仿宋_GB2312" w:cs="仿宋_GB2312"/>
          <w:snapToGrid w:val="0"/>
          <w:spacing w:val="5"/>
          <w:kern w:val="0"/>
          <w:sz w:val="32"/>
          <w:szCs w:val="32"/>
        </w:rPr>
        <w:t>问：以前的项目办理缴费，按什么标准执行？</w:t>
      </w:r>
    </w:p>
    <w:p w14:paraId="2591D607">
      <w:pPr>
        <w:spacing w:line="440" w:lineRule="exact"/>
        <w:rPr>
          <w:rFonts w:ascii="仿宋_GB2312" w:hAnsi="仿宋_GB2312" w:eastAsia="仿宋_GB2312" w:cs="仿宋_GB2312"/>
          <w:snapToGrid w:val="0"/>
          <w:spacing w:val="5"/>
          <w:kern w:val="0"/>
          <w:sz w:val="32"/>
          <w:szCs w:val="32"/>
        </w:rPr>
      </w:pPr>
      <w:r>
        <w:rPr>
          <w:rFonts w:hint="eastAsia" w:ascii="仿宋_GB2312" w:hAnsi="仿宋_GB2312" w:eastAsia="仿宋_GB2312" w:cs="仿宋_GB2312"/>
          <w:snapToGrid w:val="0"/>
          <w:spacing w:val="5"/>
          <w:kern w:val="0"/>
          <w:sz w:val="32"/>
          <w:szCs w:val="32"/>
        </w:rPr>
        <w:t>答：收费标准按办理人防行政许可时的政策标准执行。</w:t>
      </w:r>
    </w:p>
    <w:p w14:paraId="31E4F32B">
      <w:pPr>
        <w:spacing w:line="440" w:lineRule="exact"/>
        <w:rPr>
          <w:rFonts w:ascii="仿宋_GB2312" w:hAnsi="仿宋_GB2312" w:eastAsia="仿宋_GB2312" w:cs="仿宋_GB2312"/>
          <w:snapToGrid w:val="0"/>
          <w:spacing w:val="5"/>
          <w:kern w:val="0"/>
          <w:sz w:val="32"/>
          <w:szCs w:val="32"/>
        </w:rPr>
      </w:pPr>
    </w:p>
    <w:p w14:paraId="66F740DA">
      <w:pPr>
        <w:spacing w:line="440" w:lineRule="exact"/>
        <w:rPr>
          <w:rFonts w:ascii="仿宋_GB2312" w:hAnsi="仿宋_GB2312" w:eastAsia="仿宋_GB2312" w:cs="仿宋_GB2312"/>
          <w:snapToGrid w:val="0"/>
          <w:spacing w:val="5"/>
          <w:kern w:val="0"/>
          <w:sz w:val="32"/>
          <w:szCs w:val="32"/>
        </w:rPr>
      </w:pPr>
      <w:r>
        <w:rPr>
          <w:rFonts w:hint="eastAsia" w:ascii="仿宋_GB2312" w:hAnsi="仿宋_GB2312" w:eastAsia="仿宋_GB2312" w:cs="仿宋_GB2312"/>
          <w:snapToGrid w:val="0"/>
          <w:spacing w:val="5"/>
          <w:kern w:val="0"/>
          <w:sz w:val="32"/>
          <w:szCs w:val="32"/>
        </w:rPr>
        <w:t>问：费用在何处缴纳？</w:t>
      </w:r>
    </w:p>
    <w:p w14:paraId="206ADEBC">
      <w:pPr>
        <w:spacing w:line="440" w:lineRule="exact"/>
        <w:rPr>
          <w:rFonts w:ascii="仿宋_GB2312" w:hAnsi="仿宋_GB2312" w:eastAsia="仿宋_GB2312" w:cs="仿宋_GB2312"/>
          <w:snapToGrid w:val="0"/>
          <w:spacing w:val="5"/>
          <w:kern w:val="0"/>
          <w:sz w:val="32"/>
          <w:szCs w:val="32"/>
        </w:rPr>
      </w:pPr>
      <w:r>
        <w:rPr>
          <w:rFonts w:hint="eastAsia" w:ascii="仿宋_GB2312" w:hAnsi="仿宋_GB2312" w:eastAsia="仿宋_GB2312" w:cs="仿宋_GB2312"/>
          <w:snapToGrid w:val="0"/>
          <w:spacing w:val="5"/>
          <w:kern w:val="0"/>
          <w:sz w:val="32"/>
          <w:szCs w:val="32"/>
        </w:rPr>
        <w:t>答：通过江苏省电子税务局系统或者建设单位所在区税务机关办税服务厅缴纳。</w:t>
      </w:r>
    </w:p>
    <w:p w14:paraId="5AECA774">
      <w:pPr>
        <w:spacing w:line="440" w:lineRule="exact"/>
        <w:rPr>
          <w:rFonts w:ascii="仿宋_GB2312" w:hAnsi="仿宋_GB2312" w:eastAsia="仿宋_GB2312" w:cs="仿宋_GB2312"/>
          <w:snapToGrid w:val="0"/>
          <w:spacing w:val="5"/>
          <w:kern w:val="0"/>
          <w:sz w:val="32"/>
          <w:szCs w:val="32"/>
        </w:rPr>
      </w:pPr>
    </w:p>
    <w:p w14:paraId="7A12763C">
      <w:pPr>
        <w:spacing w:line="440" w:lineRule="exact"/>
        <w:rPr>
          <w:rFonts w:ascii="仿宋_GB2312" w:hAnsi="仿宋_GB2312" w:eastAsia="仿宋_GB2312" w:cs="仿宋_GB2312"/>
          <w:snapToGrid w:val="0"/>
          <w:spacing w:val="5"/>
          <w:kern w:val="0"/>
          <w:sz w:val="32"/>
          <w:szCs w:val="32"/>
        </w:rPr>
      </w:pPr>
      <w:r>
        <w:rPr>
          <w:rFonts w:hint="eastAsia" w:ascii="仿宋_GB2312" w:hAnsi="仿宋_GB2312" w:eastAsia="仿宋_GB2312" w:cs="仿宋_GB2312"/>
          <w:snapToGrid w:val="0"/>
          <w:spacing w:val="5"/>
          <w:kern w:val="0"/>
          <w:sz w:val="32"/>
          <w:szCs w:val="32"/>
        </w:rPr>
        <w:t>问：何时办理易地建设费审核征收？</w:t>
      </w:r>
    </w:p>
    <w:p w14:paraId="58242B77">
      <w:pPr>
        <w:spacing w:line="440" w:lineRule="exact"/>
        <w:rPr>
          <w:rFonts w:ascii="仿宋_GB2312" w:hAnsi="仿宋_GB2312" w:eastAsia="仿宋_GB2312" w:cs="仿宋_GB2312"/>
          <w:snapToGrid w:val="0"/>
          <w:spacing w:val="5"/>
          <w:kern w:val="0"/>
          <w:sz w:val="32"/>
          <w:szCs w:val="32"/>
        </w:rPr>
      </w:pPr>
      <w:r>
        <w:rPr>
          <w:rFonts w:hint="eastAsia" w:ascii="仿宋_GB2312" w:hAnsi="仿宋_GB2312" w:eastAsia="仿宋_GB2312" w:cs="仿宋_GB2312"/>
          <w:snapToGrid w:val="0"/>
          <w:spacing w:val="5"/>
          <w:kern w:val="0"/>
          <w:sz w:val="32"/>
          <w:szCs w:val="32"/>
        </w:rPr>
        <w:t>答：一般项目在领取建设工程规划许可证之前办理；并联审批项目在领取施工许可证之前办理；已领取施工许可证、不办理施工许可或与规划许可证合并办理施工许可证的特殊项目，由建设单位</w:t>
      </w:r>
      <w:r>
        <w:rPr>
          <w:rFonts w:hint="eastAsia" w:ascii="仿宋_GB2312" w:hAnsi="仿宋_GB2312" w:eastAsia="仿宋_GB2312" w:cs="仿宋_GB2312"/>
          <w:snapToGrid w:val="0"/>
          <w:color w:val="000000" w:themeColor="text1"/>
          <w:spacing w:val="5"/>
          <w:kern w:val="0"/>
          <w:sz w:val="32"/>
          <w:szCs w:val="32"/>
          <w14:textFill>
            <w14:solidFill>
              <w14:schemeClr w14:val="tx1"/>
            </w14:solidFill>
          </w14:textFill>
        </w:rPr>
        <w:t>承诺</w:t>
      </w:r>
      <w:r>
        <w:rPr>
          <w:rFonts w:hint="eastAsia" w:ascii="仿宋_GB2312" w:hAnsi="仿宋_GB2312" w:eastAsia="仿宋_GB2312" w:cs="仿宋_GB2312"/>
          <w:snapToGrid w:val="0"/>
          <w:spacing w:val="5"/>
          <w:kern w:val="0"/>
          <w:sz w:val="32"/>
          <w:szCs w:val="32"/>
        </w:rPr>
        <w:t>在收到“一站式”收费系统缴费“一单清”后7个工作日内申报，并在30日内缴清易地建设费。</w:t>
      </w:r>
    </w:p>
    <w:p w14:paraId="3DD02F3B">
      <w:pPr>
        <w:spacing w:line="440" w:lineRule="exact"/>
        <w:rPr>
          <w:rFonts w:ascii="仿宋_GB2312" w:hAnsi="仿宋_GB2312" w:eastAsia="仿宋_GB2312" w:cs="仿宋_GB2312"/>
          <w:snapToGrid w:val="0"/>
          <w:spacing w:val="5"/>
          <w:kern w:val="0"/>
          <w:sz w:val="32"/>
          <w:szCs w:val="32"/>
        </w:rPr>
      </w:pPr>
    </w:p>
    <w:p w14:paraId="0205DB20">
      <w:pPr>
        <w:spacing w:line="440" w:lineRule="exact"/>
        <w:rPr>
          <w:rFonts w:ascii="仿宋_GB2312" w:hAnsi="仿宋_GB2312" w:eastAsia="仿宋_GB2312" w:cs="仿宋_GB2312"/>
          <w:snapToGrid w:val="0"/>
          <w:spacing w:val="5"/>
          <w:kern w:val="0"/>
          <w:sz w:val="32"/>
          <w:szCs w:val="32"/>
        </w:rPr>
      </w:pPr>
      <w:r>
        <w:rPr>
          <w:rFonts w:hint="eastAsia" w:ascii="仿宋_GB2312" w:hAnsi="仿宋_GB2312" w:eastAsia="仿宋_GB2312" w:cs="仿宋_GB2312"/>
          <w:snapToGrid w:val="0"/>
          <w:spacing w:val="5"/>
          <w:kern w:val="0"/>
          <w:sz w:val="32"/>
          <w:szCs w:val="32"/>
        </w:rPr>
        <w:t>问：</w:t>
      </w:r>
      <w:bookmarkStart w:id="0" w:name="OLE_LINK2"/>
      <w:bookmarkStart w:id="1" w:name="OLE_LINK1"/>
      <w:r>
        <w:rPr>
          <w:rFonts w:hint="eastAsia" w:ascii="仿宋_GB2312" w:hAnsi="仿宋_GB2312" w:eastAsia="仿宋_GB2312" w:cs="仿宋_GB2312"/>
          <w:snapToGrid w:val="0"/>
          <w:spacing w:val="5"/>
          <w:kern w:val="0"/>
          <w:sz w:val="32"/>
          <w:szCs w:val="32"/>
        </w:rPr>
        <w:t>防空地下室易地建设费减免政策</w:t>
      </w:r>
      <w:bookmarkEnd w:id="0"/>
      <w:bookmarkEnd w:id="1"/>
      <w:r>
        <w:rPr>
          <w:rFonts w:hint="eastAsia" w:ascii="仿宋_GB2312" w:hAnsi="仿宋_GB2312" w:eastAsia="仿宋_GB2312" w:cs="仿宋_GB2312"/>
          <w:snapToGrid w:val="0"/>
          <w:spacing w:val="5"/>
          <w:kern w:val="0"/>
          <w:sz w:val="32"/>
          <w:szCs w:val="32"/>
        </w:rPr>
        <w:t>有哪些？</w:t>
      </w:r>
    </w:p>
    <w:p w14:paraId="7B66E139">
      <w:pPr>
        <w:spacing w:line="440" w:lineRule="exact"/>
        <w:rPr>
          <w:rFonts w:ascii="仿宋_GB2312" w:hAnsi="仿宋_GB2312" w:eastAsia="仿宋_GB2312" w:cs="仿宋_GB2312"/>
          <w:snapToGrid w:val="0"/>
          <w:spacing w:val="5"/>
          <w:kern w:val="0"/>
          <w:sz w:val="32"/>
          <w:szCs w:val="32"/>
        </w:rPr>
      </w:pPr>
      <w:r>
        <w:rPr>
          <w:rFonts w:hint="eastAsia" w:ascii="仿宋_GB2312" w:hAnsi="仿宋_GB2312" w:eastAsia="仿宋_GB2312" w:cs="仿宋_GB2312"/>
          <w:snapToGrid w:val="0"/>
          <w:spacing w:val="5"/>
          <w:kern w:val="0"/>
          <w:sz w:val="32"/>
          <w:szCs w:val="32"/>
        </w:rPr>
        <w:t>答：防空地下室易地建设费减免政策详见《省人防办关于进一步明确防空地下室易地建设费减免缓有关问题的通知》（苏防〔2019〕83号）附件3《国家减免防空地下室易地建设费相关文件目录》。</w:t>
      </w:r>
    </w:p>
    <w:p w14:paraId="7EF71FA1">
      <w:pPr>
        <w:rPr>
          <w:rFonts w:ascii="仿宋_GB2312" w:hAnsi="仿宋_GB2312" w:eastAsia="仿宋_GB2312" w:cs="仿宋_GB2312"/>
          <w:snapToGrid w:val="0"/>
          <w:spacing w:val="5"/>
          <w:kern w:val="0"/>
          <w:sz w:val="32"/>
          <w:szCs w:val="32"/>
        </w:rPr>
      </w:pPr>
    </w:p>
    <w:p w14:paraId="2A6DD592">
      <w:pPr>
        <w:pStyle w:val="10"/>
        <w:snapToGrid w:val="0"/>
        <w:spacing w:line="440" w:lineRule="exact"/>
        <w:rPr>
          <w:rFonts w:ascii="黑体" w:hAnsi="黑体" w:eastAsia="黑体" w:cs="黑体"/>
          <w:snapToGrid w:val="0"/>
          <w:color w:val="0C1B27"/>
          <w:spacing w:val="-3"/>
          <w:kern w:val="0"/>
          <w:sz w:val="32"/>
          <w:szCs w:val="32"/>
        </w:rPr>
      </w:pPr>
      <w:r>
        <w:rPr>
          <w:rFonts w:hint="eastAsia" w:ascii="黑体" w:hAnsi="黑体" w:eastAsia="黑体" w:cs="黑体"/>
          <w:snapToGrid w:val="0"/>
          <w:color w:val="0C1B27"/>
          <w:spacing w:val="-3"/>
          <w:kern w:val="0"/>
          <w:sz w:val="32"/>
          <w:szCs w:val="32"/>
        </w:rPr>
        <w:t>咨询投诉</w:t>
      </w:r>
    </w:p>
    <w:p w14:paraId="1362BA1B">
      <w:pPr>
        <w:pStyle w:val="10"/>
        <w:rPr>
          <w:rFonts w:ascii="仿宋_GB2312" w:hAnsi="仿宋_GB2312" w:eastAsia="仿宋_GB2312" w:cs="仿宋_GB2312"/>
          <w:snapToGrid w:val="0"/>
          <w:spacing w:val="5"/>
          <w:kern w:val="0"/>
          <w:sz w:val="32"/>
          <w:szCs w:val="32"/>
        </w:rPr>
      </w:pPr>
      <w:r>
        <w:rPr>
          <w:rFonts w:hint="eastAsia" w:ascii="仿宋_GB2312" w:hAnsi="仿宋_GB2312" w:eastAsia="仿宋_GB2312" w:cs="仿宋_GB2312"/>
          <w:b/>
          <w:bCs/>
          <w:snapToGrid w:val="0"/>
          <w:spacing w:val="5"/>
          <w:kern w:val="0"/>
          <w:sz w:val="32"/>
          <w:szCs w:val="32"/>
        </w:rPr>
        <w:t>咨询方式：</w:t>
      </w:r>
      <w:r>
        <w:rPr>
          <w:rFonts w:hint="eastAsia" w:ascii="仿宋_GB2312" w:hAnsi="仿宋_GB2312" w:eastAsia="仿宋_GB2312" w:cs="仿宋_GB2312"/>
          <w:snapToGrid w:val="0"/>
          <w:spacing w:val="5"/>
          <w:kern w:val="0"/>
          <w:sz w:val="32"/>
          <w:szCs w:val="32"/>
        </w:rPr>
        <w:tab/>
      </w:r>
    </w:p>
    <w:p w14:paraId="1C7EDAA2">
      <w:pPr>
        <w:spacing w:line="520" w:lineRule="exact"/>
        <w:rPr>
          <w:rFonts w:hint="eastAsia" w:ascii="仿宋_GB2312" w:hAnsi="仿宋_GB2312" w:eastAsia="仿宋_GB2312" w:cs="仿宋_GB2312"/>
          <w:snapToGrid w:val="0"/>
          <w:spacing w:val="5"/>
          <w:kern w:val="0"/>
          <w:sz w:val="32"/>
          <w:szCs w:val="32"/>
          <w:lang w:eastAsia="zh-CN"/>
        </w:rPr>
      </w:pPr>
      <w:r>
        <w:rPr>
          <w:rFonts w:hint="eastAsia" w:ascii="仿宋_GB2312" w:hAnsi="仿宋_GB2312" w:eastAsia="仿宋_GB2312" w:cs="仿宋_GB2312"/>
          <w:snapToGrid w:val="0"/>
          <w:spacing w:val="5"/>
          <w:kern w:val="0"/>
          <w:sz w:val="32"/>
          <w:szCs w:val="32"/>
        </w:rPr>
        <w:t>经办人电话：025-86631661-870</w:t>
      </w:r>
      <w:r>
        <w:rPr>
          <w:rFonts w:hint="eastAsia" w:ascii="仿宋_GB2312" w:hAnsi="仿宋_GB2312" w:eastAsia="仿宋_GB2312" w:cs="仿宋_GB2312"/>
          <w:snapToGrid w:val="0"/>
          <w:spacing w:val="5"/>
          <w:kern w:val="0"/>
          <w:sz w:val="32"/>
          <w:szCs w:val="32"/>
          <w:lang w:val="en-US" w:eastAsia="zh-CN"/>
        </w:rPr>
        <w:t>7</w:t>
      </w:r>
      <w:bookmarkStart w:id="2" w:name="_GoBack"/>
      <w:bookmarkEnd w:id="2"/>
    </w:p>
    <w:p w14:paraId="3BB7DAF8">
      <w:pPr>
        <w:spacing w:line="520" w:lineRule="exact"/>
        <w:rPr>
          <w:rFonts w:ascii="仿宋_GB2312" w:hAnsi="仿宋_GB2312" w:eastAsia="仿宋_GB2312" w:cs="仿宋_GB2312"/>
          <w:snapToGrid w:val="0"/>
          <w:spacing w:val="5"/>
          <w:kern w:val="0"/>
          <w:sz w:val="32"/>
          <w:szCs w:val="32"/>
        </w:rPr>
      </w:pPr>
      <w:r>
        <w:rPr>
          <w:rFonts w:hint="eastAsia" w:ascii="仿宋_GB2312" w:hAnsi="仿宋_GB2312" w:eastAsia="仿宋_GB2312" w:cs="仿宋_GB2312"/>
          <w:snapToGrid w:val="0"/>
          <w:spacing w:val="5"/>
          <w:kern w:val="0"/>
          <w:sz w:val="32"/>
          <w:szCs w:val="32"/>
        </w:rPr>
        <w:t>申报系统技术人员电话:13951685030</w:t>
      </w:r>
    </w:p>
    <w:p w14:paraId="1FFFD065">
      <w:pPr>
        <w:spacing w:line="520" w:lineRule="exact"/>
        <w:rPr>
          <w:rFonts w:ascii="仿宋_GB2312" w:hAnsi="仿宋_GB2312" w:eastAsia="仿宋_GB2312" w:cs="仿宋_GB2312"/>
          <w:snapToGrid w:val="0"/>
          <w:spacing w:val="5"/>
          <w:kern w:val="0"/>
          <w:sz w:val="32"/>
          <w:szCs w:val="32"/>
        </w:rPr>
      </w:pPr>
      <w:r>
        <w:rPr>
          <w:rFonts w:hint="eastAsia" w:ascii="仿宋_GB2312" w:hAnsi="仿宋_GB2312" w:eastAsia="仿宋_GB2312" w:cs="仿宋_GB2312"/>
          <w:snapToGrid w:val="0"/>
          <w:spacing w:val="5"/>
          <w:kern w:val="0"/>
          <w:sz w:val="32"/>
          <w:szCs w:val="32"/>
        </w:rPr>
        <w:t>业务主管部门监督投诉方式：025-86631661-8700</w:t>
      </w:r>
    </w:p>
    <w:p w14:paraId="46215E4C">
      <w:pPr>
        <w:pStyle w:val="10"/>
        <w:rPr>
          <w:snapToGrid w:val="0"/>
          <w:spacing w:val="5"/>
          <w:kern w:val="0"/>
          <w:sz w:val="32"/>
          <w:szCs w:val="32"/>
        </w:rPr>
      </w:pPr>
    </w:p>
    <w:p w14:paraId="3A1D63DC">
      <w:pPr>
        <w:rPr>
          <w:snapToGrid w:val="0"/>
          <w:kern w:val="0"/>
          <w:sz w:val="32"/>
          <w:szCs w:val="32"/>
        </w:rPr>
      </w:pPr>
      <w:r>
        <w:rPr>
          <w:rFonts w:hint="eastAsia" w:ascii="黑体" w:hAnsi="黑体" w:eastAsia="黑体" w:cs="黑体"/>
          <w:snapToGrid w:val="0"/>
          <w:color w:val="0C1B27"/>
          <w:spacing w:val="-3"/>
          <w:kern w:val="0"/>
          <w:sz w:val="32"/>
          <w:szCs w:val="32"/>
        </w:rPr>
        <w:t>办理地点：</w:t>
      </w:r>
      <w:r>
        <w:rPr>
          <w:rFonts w:hint="eastAsia" w:ascii="仿宋_GB2312" w:hAnsi="仿宋_GB2312" w:eastAsia="仿宋_GB2312" w:cs="仿宋_GB2312"/>
          <w:snapToGrid w:val="0"/>
          <w:kern w:val="0"/>
          <w:sz w:val="32"/>
          <w:szCs w:val="32"/>
          <w:u w:val="single"/>
        </w:rPr>
        <w:t>江苏省南京市江东中路265号A137窗口</w:t>
      </w:r>
    </w:p>
    <w:p w14:paraId="52D1CC1E">
      <w:pPr>
        <w:rPr>
          <w:snapToGrid w:val="0"/>
          <w:kern w:val="0"/>
        </w:rPr>
      </w:pPr>
    </w:p>
    <w:sectPr>
      <w:pgSz w:w="11906" w:h="16838"/>
      <w:pgMar w:top="2098" w:right="1474" w:bottom="1984" w:left="1587" w:header="851" w:footer="992" w:gutter="0"/>
      <w:cols w:space="0" w:num="1"/>
      <w:docGrid w:type="linesAndChars" w:linePitch="579" w:charSpace="216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HorizontalSpacing w:val="158"/>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A4OWU3NGY1ZWY0NGEwYzQxODk1MzY5MTk2MzFjODgifQ=="/>
  </w:docVars>
  <w:rsids>
    <w:rsidRoot w:val="00673C38"/>
    <w:rsid w:val="000D35AF"/>
    <w:rsid w:val="001122C4"/>
    <w:rsid w:val="001F7351"/>
    <w:rsid w:val="0029362C"/>
    <w:rsid w:val="003260D1"/>
    <w:rsid w:val="003D254C"/>
    <w:rsid w:val="003D3791"/>
    <w:rsid w:val="00482E6C"/>
    <w:rsid w:val="006254B6"/>
    <w:rsid w:val="00673C38"/>
    <w:rsid w:val="00757915"/>
    <w:rsid w:val="0080763B"/>
    <w:rsid w:val="00A20021"/>
    <w:rsid w:val="00A85167"/>
    <w:rsid w:val="00B4330E"/>
    <w:rsid w:val="00BC6449"/>
    <w:rsid w:val="00C17F87"/>
    <w:rsid w:val="00C75A0A"/>
    <w:rsid w:val="00CD0ABD"/>
    <w:rsid w:val="00D253C3"/>
    <w:rsid w:val="00D764CC"/>
    <w:rsid w:val="00DC59CD"/>
    <w:rsid w:val="00E61F42"/>
    <w:rsid w:val="0C1D5EBE"/>
    <w:rsid w:val="17367E22"/>
    <w:rsid w:val="1F667C26"/>
    <w:rsid w:val="242D0859"/>
    <w:rsid w:val="2C9360C5"/>
    <w:rsid w:val="2E2E42D5"/>
    <w:rsid w:val="508079DF"/>
    <w:rsid w:val="68701E42"/>
    <w:rsid w:val="6C027A34"/>
    <w:rsid w:val="75C42023"/>
    <w:rsid w:val="76432C1A"/>
    <w:rsid w:val="769710DC"/>
    <w:rsid w:val="780E74D4"/>
    <w:rsid w:val="7EBA69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4"/>
    <w:qFormat/>
    <w:uiPriority w:val="0"/>
    <w:pPr>
      <w:jc w:val="left"/>
    </w:pPr>
  </w:style>
  <w:style w:type="paragraph" w:styleId="3">
    <w:name w:val="Balloon Text"/>
    <w:basedOn w:val="1"/>
    <w:link w:val="16"/>
    <w:qFormat/>
    <w:uiPriority w:val="0"/>
    <w:rPr>
      <w:sz w:val="18"/>
      <w:szCs w:val="18"/>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qFormat/>
    <w:uiPriority w:val="0"/>
    <w:rPr>
      <w:b/>
      <w:bCs/>
    </w:rPr>
  </w:style>
  <w:style w:type="character" w:styleId="9">
    <w:name w:val="annotation reference"/>
    <w:basedOn w:val="8"/>
    <w:qFormat/>
    <w:uiPriority w:val="0"/>
    <w:rPr>
      <w:sz w:val="21"/>
      <w:szCs w:val="21"/>
    </w:rPr>
  </w:style>
  <w:style w:type="paragraph" w:customStyle="1" w:styleId="10">
    <w:name w:val="正文1"/>
    <w:autoRedefine/>
    <w:qFormat/>
    <w:uiPriority w:val="0"/>
    <w:pPr>
      <w:jc w:val="both"/>
    </w:pPr>
    <w:rPr>
      <w:rFonts w:ascii="Times New Roman" w:hAnsi="Times New Roman" w:eastAsia="宋体" w:cs="Times New Roman"/>
      <w:kern w:val="2"/>
      <w:sz w:val="21"/>
      <w:szCs w:val="21"/>
      <w:lang w:val="en-US" w:eastAsia="zh-CN" w:bidi="ar-SA"/>
    </w:rPr>
  </w:style>
  <w:style w:type="paragraph" w:styleId="11">
    <w:name w:val="List Paragraph"/>
    <w:basedOn w:val="1"/>
    <w:qFormat/>
    <w:uiPriority w:val="34"/>
    <w:pPr>
      <w:ind w:firstLine="420" w:firstLineChars="200"/>
    </w:pPr>
  </w:style>
  <w:style w:type="character" w:customStyle="1" w:styleId="12">
    <w:name w:val="页眉 Char"/>
    <w:basedOn w:val="8"/>
    <w:link w:val="5"/>
    <w:qFormat/>
    <w:uiPriority w:val="0"/>
    <w:rPr>
      <w:kern w:val="2"/>
      <w:sz w:val="18"/>
      <w:szCs w:val="18"/>
    </w:rPr>
  </w:style>
  <w:style w:type="character" w:customStyle="1" w:styleId="13">
    <w:name w:val="页脚 Char"/>
    <w:basedOn w:val="8"/>
    <w:link w:val="4"/>
    <w:qFormat/>
    <w:uiPriority w:val="0"/>
    <w:rPr>
      <w:kern w:val="2"/>
      <w:sz w:val="18"/>
      <w:szCs w:val="18"/>
    </w:rPr>
  </w:style>
  <w:style w:type="character" w:customStyle="1" w:styleId="14">
    <w:name w:val="批注文字 Char"/>
    <w:basedOn w:val="8"/>
    <w:link w:val="2"/>
    <w:qFormat/>
    <w:uiPriority w:val="0"/>
    <w:rPr>
      <w:kern w:val="2"/>
      <w:sz w:val="21"/>
      <w:szCs w:val="24"/>
    </w:rPr>
  </w:style>
  <w:style w:type="character" w:customStyle="1" w:styleId="15">
    <w:name w:val="批注主题 Char"/>
    <w:basedOn w:val="14"/>
    <w:link w:val="6"/>
    <w:qFormat/>
    <w:uiPriority w:val="0"/>
    <w:rPr>
      <w:b/>
      <w:bCs/>
      <w:kern w:val="2"/>
      <w:sz w:val="21"/>
      <w:szCs w:val="24"/>
    </w:rPr>
  </w:style>
  <w:style w:type="character" w:customStyle="1" w:styleId="16">
    <w:name w:val="批注框文本 Char"/>
    <w:basedOn w:val="8"/>
    <w:link w:val="3"/>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1751</Words>
  <Characters>1912</Characters>
  <Lines>13</Lines>
  <Paragraphs>3</Paragraphs>
  <TotalTime>2</TotalTime>
  <ScaleCrop>false</ScaleCrop>
  <LinksUpToDate>false</LinksUpToDate>
  <CharactersWithSpaces>1920</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2024-09-04T03:33:00Z</dcterms:created>
  <dc:creator>Administrator</dc:creator>
  <cp:lastModifiedBy>龙门椰子</cp:lastModifiedBy>
  <cp:lastPrinted>2025-02-20T03:25:00Z</cp:lastPrinted>
  <dcterms:modified xsi:type="dcterms:W3CDTF">2026-08-10T03:34:39Z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3E8977AD8E3C45DBAFD7F48C8FE629F5_12</vt:lpwstr>
  </property>
  <property fmtid="{D5CDD505-2E9C-101B-9397-08002B2CF9AE}" pid="4" name="KSOTemplateDocerSaveRecord">
    <vt:lpwstr>eyJoZGlkIjoiMGE3MDczZmQ0NzZiN2E5YmUwOGMzNWZiZDQ3ZDc3NTAiLCJ1c2VySWQiOiIyODQzMDQyNjkifQ==</vt:lpwstr>
  </property>
</Properties>
</file>